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38" w:rsidRPr="00990225" w:rsidRDefault="00C70838" w:rsidP="00C70838">
      <w:pPr>
        <w:jc w:val="center"/>
        <w:rPr>
          <w:b/>
          <w:color w:val="FF0000"/>
          <w:sz w:val="36"/>
          <w:szCs w:val="36"/>
          <w:u w:val="single"/>
        </w:rPr>
      </w:pPr>
      <w:r w:rsidRPr="00990225">
        <w:rPr>
          <w:b/>
          <w:color w:val="FF0000"/>
          <w:sz w:val="36"/>
          <w:szCs w:val="36"/>
          <w:u w:val="single"/>
        </w:rPr>
        <w:t>Diferencial de alíquotas</w:t>
      </w:r>
    </w:p>
    <w:p w:rsidR="00C70838" w:rsidRPr="00990225" w:rsidRDefault="00C70838" w:rsidP="00C70838">
      <w:pPr>
        <w:rPr>
          <w:sz w:val="36"/>
          <w:szCs w:val="36"/>
        </w:rPr>
      </w:pPr>
    </w:p>
    <w:p w:rsidR="00C70838" w:rsidRPr="00990225" w:rsidRDefault="00C70838" w:rsidP="00C70838">
      <w:pPr>
        <w:jc w:val="both"/>
        <w:rPr>
          <w:b/>
          <w:sz w:val="36"/>
          <w:szCs w:val="36"/>
          <w:u w:val="single"/>
        </w:rPr>
      </w:pPr>
      <w:proofErr w:type="gramStart"/>
      <w:r w:rsidRPr="00990225">
        <w:rPr>
          <w:b/>
          <w:sz w:val="36"/>
          <w:szCs w:val="36"/>
          <w:highlight w:val="yellow"/>
          <w:u w:val="single"/>
        </w:rPr>
        <w:t>DIFAL  -</w:t>
      </w:r>
      <w:proofErr w:type="gramEnd"/>
      <w:r w:rsidRPr="00990225">
        <w:rPr>
          <w:b/>
          <w:sz w:val="36"/>
          <w:szCs w:val="36"/>
          <w:highlight w:val="yellow"/>
          <w:u w:val="single"/>
        </w:rPr>
        <w:t xml:space="preserve">  É A DIFERENÇA  DA ALIQUOTA INTERESTADUAL  DO  ESTADO VENDEDOR, MENOS A ALIQUOTA INTERNA DE CADA ESTADO DE DESTINO.</w:t>
      </w:r>
    </w:p>
    <w:p w:rsidR="00C70838" w:rsidRPr="00990225" w:rsidRDefault="00C70838" w:rsidP="00C70838">
      <w:pPr>
        <w:jc w:val="both"/>
        <w:rPr>
          <w:b/>
          <w:sz w:val="36"/>
          <w:szCs w:val="36"/>
          <w:u w:val="single"/>
        </w:rPr>
      </w:pPr>
    </w:p>
    <w:p w:rsidR="00C70838" w:rsidRPr="00990225" w:rsidRDefault="00C70838" w:rsidP="00C70838">
      <w:pPr>
        <w:jc w:val="both"/>
        <w:rPr>
          <w:b/>
          <w:sz w:val="36"/>
          <w:szCs w:val="36"/>
          <w:u w:val="single"/>
        </w:rPr>
      </w:pPr>
      <w:r w:rsidRPr="00990225">
        <w:rPr>
          <w:b/>
          <w:sz w:val="36"/>
          <w:szCs w:val="36"/>
          <w:highlight w:val="green"/>
          <w:u w:val="single"/>
        </w:rPr>
        <w:t xml:space="preserve">A </w:t>
      </w:r>
      <w:proofErr w:type="gramStart"/>
      <w:r w:rsidRPr="00990225">
        <w:rPr>
          <w:b/>
          <w:sz w:val="36"/>
          <w:szCs w:val="36"/>
          <w:highlight w:val="green"/>
          <w:u w:val="single"/>
        </w:rPr>
        <w:t>ALIQUOTA  INTERESTADUAL</w:t>
      </w:r>
      <w:proofErr w:type="gramEnd"/>
      <w:r w:rsidRPr="00990225">
        <w:rPr>
          <w:b/>
          <w:sz w:val="36"/>
          <w:szCs w:val="36"/>
          <w:highlight w:val="green"/>
          <w:u w:val="single"/>
        </w:rPr>
        <w:t xml:space="preserve"> DO PR É DE  </w:t>
      </w:r>
      <w:r w:rsidRPr="00990225">
        <w:rPr>
          <w:b/>
          <w:sz w:val="36"/>
          <w:szCs w:val="36"/>
          <w:highlight w:val="magenta"/>
          <w:u w:val="single"/>
        </w:rPr>
        <w:t>12%</w:t>
      </w:r>
      <w:r w:rsidRPr="00990225">
        <w:rPr>
          <w:b/>
          <w:sz w:val="36"/>
          <w:szCs w:val="36"/>
          <w:u w:val="single"/>
        </w:rPr>
        <w:t xml:space="preserve">   Portanto se vender para consumidor final para os estados abaixo tem que recolher a diferença entre as alíquotas em favor do estado destino..</w:t>
      </w:r>
    </w:p>
    <w:p w:rsidR="00990225" w:rsidRPr="00A30870" w:rsidRDefault="00990225" w:rsidP="00990225">
      <w:pPr>
        <w:shd w:val="clear" w:color="auto" w:fill="FFFFFF"/>
        <w:spacing w:before="405" w:after="255" w:line="450" w:lineRule="atLeast"/>
        <w:outlineLvl w:val="2"/>
        <w:rPr>
          <w:rFonts w:ascii="Arial" w:eastAsia="Times New Roman" w:hAnsi="Arial" w:cs="Arial"/>
          <w:b/>
          <w:color w:val="111111"/>
          <w:sz w:val="40"/>
          <w:szCs w:val="40"/>
          <w:u w:val="single"/>
          <w:lang w:eastAsia="pt-BR"/>
        </w:rPr>
      </w:pPr>
      <w:proofErr w:type="gramStart"/>
      <w:r w:rsidRPr="00F85D87">
        <w:rPr>
          <w:rFonts w:ascii="Arial" w:eastAsia="Times New Roman" w:hAnsi="Arial" w:cs="Arial"/>
          <w:b/>
          <w:color w:val="111111"/>
          <w:sz w:val="40"/>
          <w:szCs w:val="40"/>
          <w:highlight w:val="yellow"/>
          <w:u w:val="single"/>
          <w:lang w:eastAsia="pt-BR"/>
        </w:rPr>
        <w:t xml:space="preserve">ALIQUOTAS  </w:t>
      </w:r>
      <w:r w:rsidRPr="00A30870">
        <w:rPr>
          <w:rFonts w:ascii="Arial" w:eastAsia="Times New Roman" w:hAnsi="Arial" w:cs="Arial"/>
          <w:b/>
          <w:color w:val="111111"/>
          <w:sz w:val="40"/>
          <w:szCs w:val="40"/>
          <w:highlight w:val="yellow"/>
          <w:u w:val="single"/>
          <w:lang w:eastAsia="pt-BR"/>
        </w:rPr>
        <w:t>internas</w:t>
      </w:r>
      <w:proofErr w:type="gramEnd"/>
      <w:r w:rsidRPr="00A30870">
        <w:rPr>
          <w:rFonts w:ascii="Arial" w:eastAsia="Times New Roman" w:hAnsi="Arial" w:cs="Arial"/>
          <w:b/>
          <w:color w:val="111111"/>
          <w:sz w:val="40"/>
          <w:szCs w:val="40"/>
          <w:highlight w:val="yellow"/>
          <w:u w:val="single"/>
          <w:lang w:eastAsia="pt-BR"/>
        </w:rPr>
        <w:t xml:space="preserve"> de ICMS por estado</w:t>
      </w:r>
    </w:p>
    <w:tbl>
      <w:tblPr>
        <w:tblW w:w="10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15"/>
        <w:gridCol w:w="3914"/>
        <w:gridCol w:w="3311"/>
      </w:tblGrid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Acre – 17%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Alagoas – 18%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Amazonas – 18%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Amapá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Bahia – 18%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Ceará – 18%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Distrito Federal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Espírito Santo – 17%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Goiás – 17%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Maranhão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Mato Grosso – 17%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Mato Grosso do Sul – 17%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Minas Gerais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Pará – 17%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Paraíba – 18%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Paraná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Pernambuco – 18%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Piauí – 18%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Rio Grande do Norte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Rio Grande do Sul – 18%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Rio de Janeiro – 20%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Rondônia – 17,5%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Roraima – 17%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Santa Catarina – 17%</w:t>
            </w:r>
          </w:p>
        </w:tc>
      </w:tr>
      <w:tr w:rsidR="00990225" w:rsidRPr="00A30870" w:rsidTr="00370590">
        <w:tc>
          <w:tcPr>
            <w:tcW w:w="8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São Paulo – 18%</w:t>
            </w:r>
          </w:p>
        </w:tc>
        <w:tc>
          <w:tcPr>
            <w:tcW w:w="11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Sergipe – 18%</w:t>
            </w:r>
          </w:p>
        </w:tc>
        <w:tc>
          <w:tcPr>
            <w:tcW w:w="9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990225" w:rsidRPr="00A30870" w:rsidRDefault="00990225" w:rsidP="00370590">
            <w:pPr>
              <w:spacing w:after="315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A30870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pt-BR"/>
              </w:rPr>
              <w:t>Tocantins – 18%</w:t>
            </w:r>
          </w:p>
        </w:tc>
      </w:tr>
    </w:tbl>
    <w:p w:rsidR="00990225" w:rsidRPr="00C70838" w:rsidRDefault="00990225" w:rsidP="00C70838">
      <w:pPr>
        <w:jc w:val="both"/>
        <w:rPr>
          <w:b/>
          <w:sz w:val="48"/>
          <w:szCs w:val="48"/>
          <w:u w:val="single"/>
        </w:rPr>
      </w:pPr>
    </w:p>
    <w:p w:rsidR="00C70838" w:rsidRDefault="00C70838">
      <w:bookmarkStart w:id="0" w:name="_GoBack"/>
      <w:bookmarkEnd w:id="0"/>
    </w:p>
    <w:sectPr w:rsidR="00C70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38"/>
    <w:rsid w:val="005602BA"/>
    <w:rsid w:val="00990225"/>
    <w:rsid w:val="00C70838"/>
    <w:rsid w:val="00F5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8EA39-5EFD-4715-A975-2D6710AA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8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2021-01-19T16:15:00Z</dcterms:created>
  <dcterms:modified xsi:type="dcterms:W3CDTF">2021-01-19T16:15:00Z</dcterms:modified>
</cp:coreProperties>
</file>